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C9" w:rsidRPr="00B853C5" w:rsidRDefault="00CB41C9" w:rsidP="00CB41C9">
      <w:pPr>
        <w:tabs>
          <w:tab w:val="left" w:pos="284"/>
        </w:tabs>
        <w:spacing w:after="0" w:line="240" w:lineRule="auto"/>
        <w:jc w:val="center"/>
        <w:rPr>
          <w:rFonts w:ascii="Times New Roman" w:hAnsi="Times New Roman"/>
          <w:b/>
          <w:bCs/>
          <w:sz w:val="24"/>
          <w:szCs w:val="24"/>
          <w:lang w:val="uk-UA"/>
        </w:rPr>
      </w:pPr>
      <w:r w:rsidRPr="00B853C5">
        <w:rPr>
          <w:rFonts w:ascii="Times New Roman" w:hAnsi="Times New Roman"/>
          <w:b/>
          <w:bCs/>
          <w:sz w:val="24"/>
          <w:szCs w:val="24"/>
          <w:lang w:val="uk-UA"/>
        </w:rPr>
        <w:t>ПРИВАТНЕ АКЦІОНЕРНЕ ТОВАРИСТВО</w:t>
      </w:r>
    </w:p>
    <w:p w:rsidR="00CB41C9" w:rsidRPr="00B853C5" w:rsidRDefault="00CB41C9" w:rsidP="00CB41C9">
      <w:pPr>
        <w:tabs>
          <w:tab w:val="left" w:pos="284"/>
        </w:tabs>
        <w:spacing w:after="0" w:line="240" w:lineRule="auto"/>
        <w:jc w:val="center"/>
        <w:rPr>
          <w:rFonts w:ascii="Times New Roman" w:hAnsi="Times New Roman"/>
          <w:b/>
          <w:iCs/>
          <w:sz w:val="24"/>
          <w:szCs w:val="24"/>
          <w:lang w:val="uk-UA"/>
        </w:rPr>
      </w:pPr>
      <w:r w:rsidRPr="00B853C5">
        <w:rPr>
          <w:rFonts w:ascii="Times New Roman" w:hAnsi="Times New Roman"/>
          <w:b/>
          <w:sz w:val="24"/>
          <w:szCs w:val="24"/>
          <w:lang w:val="uk-UA"/>
        </w:rPr>
        <w:t>«ВИШНІВСЬКИЙ ЛИВАРНО-КОВАЛЬСЬКИЙ ЗАВОД»</w:t>
      </w:r>
    </w:p>
    <w:p w:rsidR="00CB41C9" w:rsidRPr="00B853C5" w:rsidRDefault="00CB41C9" w:rsidP="00CB41C9">
      <w:pPr>
        <w:tabs>
          <w:tab w:val="left" w:pos="284"/>
        </w:tabs>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(місцезнаходження: Київська обл., м. Вишневе, вул. Ломоносова, 1)</w:t>
      </w:r>
      <w:r w:rsidRPr="00B853C5">
        <w:rPr>
          <w:rFonts w:ascii="Times New Roman" w:hAnsi="Times New Roman"/>
          <w:iCs/>
          <w:sz w:val="24"/>
          <w:szCs w:val="24"/>
          <w:lang w:val="uk-UA"/>
        </w:rPr>
        <w:t xml:space="preserve"> (</w:t>
      </w:r>
      <w:r w:rsidRPr="00B853C5">
        <w:rPr>
          <w:rFonts w:ascii="Times New Roman" w:hAnsi="Times New Roman"/>
          <w:sz w:val="24"/>
          <w:szCs w:val="24"/>
          <w:lang w:val="uk-UA"/>
        </w:rPr>
        <w:t>далі – Товариство) повідомляє про скликання річних загальних зборів акціонерів Товариства (далі – загальні збори), які будуть проведені дистанційно відповідно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№196.</w:t>
      </w:r>
    </w:p>
    <w:p w:rsidR="00CB41C9" w:rsidRPr="009D54A2" w:rsidRDefault="00CB41C9" w:rsidP="00CB41C9">
      <w:pPr>
        <w:spacing w:after="0" w:line="240" w:lineRule="auto"/>
        <w:ind w:firstLine="709"/>
        <w:jc w:val="both"/>
        <w:rPr>
          <w:rFonts w:ascii="Times New Roman" w:hAnsi="Times New Roman"/>
          <w:sz w:val="24"/>
          <w:szCs w:val="24"/>
          <w:lang w:val="uk-UA"/>
        </w:rPr>
      </w:pPr>
      <w:r w:rsidRPr="009D54A2">
        <w:rPr>
          <w:rFonts w:ascii="Times New Roman" w:hAnsi="Times New Roman"/>
          <w:sz w:val="24"/>
          <w:szCs w:val="24"/>
          <w:lang w:val="uk-UA"/>
        </w:rPr>
        <w:t>Дата проведення загальних зборів (дата завершення голосування) – 15.12.2022.</w:t>
      </w:r>
    </w:p>
    <w:p w:rsidR="00CB41C9" w:rsidRPr="009D54A2" w:rsidRDefault="00CB41C9" w:rsidP="00CB41C9">
      <w:pPr>
        <w:spacing w:after="0" w:line="240" w:lineRule="auto"/>
        <w:ind w:firstLine="709"/>
        <w:jc w:val="both"/>
        <w:rPr>
          <w:rFonts w:ascii="Times New Roman" w:hAnsi="Times New Roman"/>
          <w:sz w:val="24"/>
          <w:szCs w:val="24"/>
          <w:lang w:val="uk-UA"/>
        </w:rPr>
      </w:pPr>
      <w:r w:rsidRPr="009D54A2">
        <w:rPr>
          <w:rFonts w:ascii="Times New Roman" w:hAnsi="Times New Roman"/>
          <w:sz w:val="24"/>
          <w:szCs w:val="24"/>
          <w:lang w:val="uk-UA"/>
        </w:rPr>
        <w:t xml:space="preserve">Дата розміщення єдиного бюлетеня для голосування (дата початку голосування) – </w:t>
      </w:r>
    </w:p>
    <w:p w:rsidR="00CB41C9" w:rsidRDefault="00CB41C9" w:rsidP="00CB41C9">
      <w:pPr>
        <w:spacing w:after="0" w:line="240" w:lineRule="auto"/>
        <w:ind w:firstLine="709"/>
        <w:jc w:val="both"/>
        <w:rPr>
          <w:rFonts w:ascii="Times New Roman" w:hAnsi="Times New Roman"/>
          <w:sz w:val="24"/>
          <w:szCs w:val="24"/>
          <w:lang w:val="uk-UA"/>
        </w:rPr>
      </w:pPr>
      <w:r w:rsidRPr="009D54A2">
        <w:rPr>
          <w:rFonts w:ascii="Times New Roman" w:hAnsi="Times New Roman"/>
          <w:sz w:val="24"/>
          <w:szCs w:val="24"/>
          <w:lang w:val="uk-UA"/>
        </w:rPr>
        <w:t>02.12.2022.</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xml:space="preserve">Єдиний бюлетень для голосування розміщуватиметься у вільному для акціонерів доступі на власному веб-сайті Товариства http://vlkz.com.ua. </w:t>
      </w:r>
    </w:p>
    <w:p w:rsidR="00CB41C9"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xml:space="preserve">Дата складення переліку акціонерів, які мають право на участь у загальних зборах  акціонерів, – </w:t>
      </w:r>
      <w:r>
        <w:rPr>
          <w:rFonts w:ascii="Times New Roman" w:hAnsi="Times New Roman"/>
          <w:sz w:val="24"/>
          <w:szCs w:val="24"/>
          <w:lang w:val="uk-UA"/>
        </w:rPr>
        <w:t>09.12.2022.</w:t>
      </w:r>
    </w:p>
    <w:p w:rsidR="00CB41C9" w:rsidRPr="00B853C5" w:rsidRDefault="00CB41C9" w:rsidP="00CB41C9">
      <w:pPr>
        <w:spacing w:after="0" w:line="240" w:lineRule="auto"/>
        <w:ind w:firstLine="709"/>
        <w:jc w:val="both"/>
        <w:rPr>
          <w:rFonts w:ascii="Times New Roman" w:hAnsi="Times New Roman"/>
          <w:iCs/>
          <w:sz w:val="24"/>
          <w:szCs w:val="24"/>
          <w:lang w:val="uk-UA"/>
        </w:rPr>
      </w:pPr>
    </w:p>
    <w:p w:rsidR="00CB41C9" w:rsidRPr="00B853C5" w:rsidRDefault="00CB41C9" w:rsidP="00CB41C9">
      <w:pPr>
        <w:tabs>
          <w:tab w:val="left" w:pos="284"/>
        </w:tabs>
        <w:spacing w:after="0" w:line="240" w:lineRule="auto"/>
        <w:jc w:val="center"/>
        <w:rPr>
          <w:rFonts w:ascii="Times New Roman" w:hAnsi="Times New Roman"/>
          <w:b/>
          <w:iCs/>
          <w:sz w:val="24"/>
          <w:szCs w:val="24"/>
          <w:lang w:val="uk-UA"/>
        </w:rPr>
      </w:pPr>
      <w:r w:rsidRPr="00B853C5">
        <w:rPr>
          <w:rFonts w:ascii="Times New Roman" w:hAnsi="Times New Roman"/>
          <w:b/>
          <w:iCs/>
          <w:sz w:val="24"/>
          <w:szCs w:val="24"/>
          <w:lang w:val="uk-UA"/>
        </w:rPr>
        <w:t>Проєкт порядку денного:</w:t>
      </w:r>
    </w:p>
    <w:p w:rsidR="00CB41C9" w:rsidRPr="00B853C5" w:rsidRDefault="00CB41C9" w:rsidP="00CB41C9">
      <w:pPr>
        <w:spacing w:after="0" w:line="240" w:lineRule="auto"/>
        <w:ind w:firstLine="709"/>
        <w:jc w:val="both"/>
        <w:rPr>
          <w:rFonts w:ascii="Times New Roman" w:hAnsi="Times New Roman"/>
          <w:b/>
          <w:sz w:val="24"/>
          <w:szCs w:val="24"/>
          <w:lang w:val="uk-UA"/>
        </w:rPr>
      </w:pPr>
      <w:r w:rsidRPr="00B853C5">
        <w:rPr>
          <w:rFonts w:ascii="Times New Roman" w:hAnsi="Times New Roman"/>
          <w:b/>
          <w:sz w:val="24"/>
          <w:szCs w:val="24"/>
          <w:lang w:val="uk-UA"/>
        </w:rPr>
        <w:t>1. Розгляд звіту Наглядової ради та прийняття рішення за наслідками його розгляду.</w:t>
      </w:r>
    </w:p>
    <w:p w:rsidR="00CB41C9" w:rsidRPr="00B853C5" w:rsidRDefault="000C48A6"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u w:val="single"/>
          <w:lang w:val="uk-UA"/>
        </w:rPr>
        <w:t>Проєкт рішення</w:t>
      </w:r>
      <w:r w:rsidRPr="00B853C5">
        <w:rPr>
          <w:rFonts w:ascii="Times New Roman" w:hAnsi="Times New Roman"/>
          <w:sz w:val="24"/>
          <w:szCs w:val="24"/>
          <w:lang w:val="uk-UA"/>
        </w:rPr>
        <w:t>:</w:t>
      </w:r>
      <w:r w:rsidR="00CB41C9" w:rsidRPr="00B853C5">
        <w:rPr>
          <w:rFonts w:ascii="Times New Roman" w:hAnsi="Times New Roman"/>
          <w:bCs/>
          <w:sz w:val="24"/>
          <w:szCs w:val="24"/>
          <w:lang w:val="uk-UA"/>
        </w:rPr>
        <w:t xml:space="preserve"> Затвердити звіт Н</w:t>
      </w:r>
      <w:r w:rsidR="00CB41C9" w:rsidRPr="00B853C5">
        <w:rPr>
          <w:rFonts w:ascii="Times New Roman" w:hAnsi="Times New Roman"/>
          <w:sz w:val="24"/>
          <w:szCs w:val="24"/>
          <w:lang w:val="uk-UA"/>
        </w:rPr>
        <w:t>аглядової ради</w:t>
      </w:r>
      <w:r w:rsidR="00CB41C9" w:rsidRPr="00B853C5">
        <w:rPr>
          <w:rFonts w:ascii="Times New Roman" w:hAnsi="Times New Roman"/>
          <w:bCs/>
          <w:sz w:val="24"/>
          <w:szCs w:val="24"/>
          <w:lang w:val="uk-UA"/>
        </w:rPr>
        <w:t xml:space="preserve"> за 2021 рік.</w:t>
      </w:r>
    </w:p>
    <w:p w:rsidR="00CB41C9" w:rsidRPr="00B853C5" w:rsidRDefault="00CB41C9" w:rsidP="00CB41C9">
      <w:pPr>
        <w:spacing w:after="0" w:line="240" w:lineRule="auto"/>
        <w:ind w:firstLine="709"/>
        <w:jc w:val="both"/>
        <w:rPr>
          <w:rFonts w:ascii="Times New Roman" w:hAnsi="Times New Roman"/>
          <w:b/>
          <w:bCs/>
          <w:sz w:val="24"/>
          <w:szCs w:val="24"/>
          <w:lang w:val="uk-UA"/>
        </w:rPr>
      </w:pPr>
      <w:r w:rsidRPr="00B853C5">
        <w:rPr>
          <w:rFonts w:ascii="Times New Roman" w:hAnsi="Times New Roman"/>
          <w:b/>
          <w:sz w:val="24"/>
          <w:szCs w:val="24"/>
          <w:lang w:val="uk-UA"/>
        </w:rPr>
        <w:t>2</w:t>
      </w:r>
      <w:r w:rsidRPr="00B853C5">
        <w:rPr>
          <w:rFonts w:ascii="Times New Roman" w:hAnsi="Times New Roman"/>
          <w:b/>
          <w:bCs/>
          <w:sz w:val="24"/>
          <w:szCs w:val="24"/>
          <w:lang w:val="uk-UA"/>
        </w:rPr>
        <w:t>. Розгляд звіту Директора та прийняття рішення за наслідками його розгляду.</w:t>
      </w:r>
    </w:p>
    <w:p w:rsidR="00CB41C9" w:rsidRPr="00B853C5" w:rsidRDefault="00CB41C9" w:rsidP="00CB41C9">
      <w:pPr>
        <w:pStyle w:val="a5"/>
        <w:ind w:firstLine="709"/>
        <w:jc w:val="both"/>
        <w:rPr>
          <w:rFonts w:ascii="Times New Roman" w:hAnsi="Times New Roman"/>
          <w:b w:val="0"/>
          <w:bCs/>
          <w:noProof w:val="0"/>
          <w:color w:val="auto"/>
          <w:sz w:val="24"/>
          <w:szCs w:val="24"/>
        </w:rPr>
      </w:pPr>
      <w:r w:rsidRPr="00B853C5">
        <w:rPr>
          <w:rStyle w:val="a4"/>
          <w:rFonts w:ascii="Times New Roman" w:hAnsi="Times New Roman"/>
          <w:color w:val="auto"/>
          <w:sz w:val="24"/>
          <w:szCs w:val="24"/>
        </w:rPr>
        <w:t>Проєкт рішення</w:t>
      </w:r>
      <w:r w:rsidRPr="00B853C5">
        <w:rPr>
          <w:rFonts w:ascii="Times New Roman" w:hAnsi="Times New Roman"/>
          <w:b w:val="0"/>
          <w:color w:val="auto"/>
          <w:sz w:val="24"/>
          <w:szCs w:val="24"/>
        </w:rPr>
        <w:t>: Затвердити звіт Директора за 2021 рік.</w:t>
      </w:r>
    </w:p>
    <w:p w:rsidR="00CB41C9" w:rsidRPr="00B853C5" w:rsidRDefault="00CB41C9" w:rsidP="00CB41C9">
      <w:pPr>
        <w:spacing w:after="0" w:line="240" w:lineRule="auto"/>
        <w:ind w:firstLine="709"/>
        <w:jc w:val="both"/>
        <w:rPr>
          <w:rFonts w:ascii="Times New Roman" w:hAnsi="Times New Roman"/>
          <w:b/>
          <w:bCs/>
          <w:sz w:val="24"/>
          <w:szCs w:val="24"/>
          <w:lang w:val="uk-UA"/>
        </w:rPr>
      </w:pPr>
      <w:r w:rsidRPr="00B853C5">
        <w:rPr>
          <w:rFonts w:ascii="Times New Roman" w:hAnsi="Times New Roman"/>
          <w:b/>
          <w:bCs/>
          <w:sz w:val="24"/>
          <w:szCs w:val="24"/>
          <w:lang w:val="uk-UA"/>
        </w:rPr>
        <w:t>3. Затвердження річного звіту за 2021 рік.</w:t>
      </w:r>
    </w:p>
    <w:p w:rsidR="00CB41C9" w:rsidRPr="00B853C5" w:rsidRDefault="000C48A6" w:rsidP="00CB41C9">
      <w:pPr>
        <w:spacing w:after="0" w:line="240" w:lineRule="auto"/>
        <w:ind w:firstLine="709"/>
        <w:jc w:val="both"/>
        <w:rPr>
          <w:rFonts w:ascii="Times New Roman" w:hAnsi="Times New Roman"/>
          <w:bCs/>
          <w:sz w:val="24"/>
          <w:szCs w:val="24"/>
          <w:lang w:val="uk-UA"/>
        </w:rPr>
      </w:pPr>
      <w:r w:rsidRPr="00B853C5">
        <w:rPr>
          <w:rFonts w:ascii="Times New Roman" w:hAnsi="Times New Roman"/>
          <w:sz w:val="24"/>
          <w:szCs w:val="24"/>
          <w:u w:val="single"/>
          <w:lang w:val="uk-UA"/>
        </w:rPr>
        <w:t>Проєкт рішення</w:t>
      </w:r>
      <w:r w:rsidRPr="00B853C5">
        <w:rPr>
          <w:rFonts w:ascii="Times New Roman" w:hAnsi="Times New Roman"/>
          <w:sz w:val="24"/>
          <w:szCs w:val="24"/>
          <w:lang w:val="uk-UA"/>
        </w:rPr>
        <w:t>:</w:t>
      </w:r>
      <w:bookmarkStart w:id="0" w:name="_GoBack"/>
      <w:bookmarkEnd w:id="0"/>
      <w:r w:rsidR="00CB41C9" w:rsidRPr="00B853C5">
        <w:rPr>
          <w:rFonts w:ascii="Times New Roman" w:hAnsi="Times New Roman"/>
          <w:bCs/>
          <w:sz w:val="24"/>
          <w:szCs w:val="24"/>
          <w:lang w:val="uk-UA"/>
        </w:rPr>
        <w:t xml:space="preserve"> Затвердити річний звіт за 2021 рік.</w:t>
      </w:r>
    </w:p>
    <w:p w:rsidR="00CB41C9" w:rsidRPr="00B853C5" w:rsidRDefault="00CB41C9" w:rsidP="00CB41C9">
      <w:pPr>
        <w:spacing w:after="0" w:line="240" w:lineRule="auto"/>
        <w:ind w:firstLine="709"/>
        <w:jc w:val="both"/>
        <w:rPr>
          <w:rFonts w:ascii="Times New Roman" w:hAnsi="Times New Roman"/>
          <w:b/>
          <w:sz w:val="24"/>
          <w:szCs w:val="24"/>
          <w:lang w:val="uk-UA"/>
        </w:rPr>
      </w:pPr>
      <w:r w:rsidRPr="00B853C5">
        <w:rPr>
          <w:rFonts w:ascii="Times New Roman" w:hAnsi="Times New Roman"/>
          <w:b/>
          <w:sz w:val="24"/>
          <w:szCs w:val="24"/>
          <w:lang w:val="uk-UA"/>
        </w:rPr>
        <w:t>4. Розподіл прибутку і збитків за 2021 рік. Затвердження способу виплати дивідендів.</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u w:val="single"/>
          <w:lang w:val="uk-UA"/>
        </w:rPr>
        <w:t>Проєкт рішення</w:t>
      </w:r>
      <w:r w:rsidRPr="00B853C5">
        <w:rPr>
          <w:rFonts w:ascii="Times New Roman" w:hAnsi="Times New Roman"/>
          <w:sz w:val="24"/>
          <w:szCs w:val="24"/>
          <w:lang w:val="uk-UA"/>
        </w:rPr>
        <w:t xml:space="preserve">: Чистий прибуток товариства за 2021 рік в розмірі </w:t>
      </w:r>
      <w:r w:rsidRPr="00B853C5">
        <w:rPr>
          <w:rFonts w:ascii="Times New Roman" w:hAnsi="Times New Roman"/>
          <w:sz w:val="24"/>
          <w:szCs w:val="24"/>
          <w:shd w:val="clear" w:color="auto" w:fill="FFFFFF"/>
          <w:lang w:val="uk-UA"/>
        </w:rPr>
        <w:t>3 460 015,46</w:t>
      </w:r>
      <w:r w:rsidRPr="00B853C5">
        <w:rPr>
          <w:rFonts w:ascii="Times New Roman" w:hAnsi="Times New Roman"/>
          <w:sz w:val="24"/>
          <w:szCs w:val="24"/>
          <w:lang w:val="uk-UA"/>
        </w:rPr>
        <w:t xml:space="preserve"> </w:t>
      </w:r>
      <w:r w:rsidRPr="00B853C5">
        <w:rPr>
          <w:rStyle w:val="xfm01618953"/>
          <w:rFonts w:ascii="Times New Roman" w:eastAsia="Calibri" w:hAnsi="Times New Roman"/>
          <w:sz w:val="24"/>
          <w:szCs w:val="24"/>
        </w:rPr>
        <w:t xml:space="preserve">грн. </w:t>
      </w:r>
      <w:r w:rsidRPr="00B853C5">
        <w:rPr>
          <w:rFonts w:ascii="Times New Roman" w:hAnsi="Times New Roman"/>
          <w:sz w:val="24"/>
          <w:szCs w:val="24"/>
          <w:lang w:val="uk-UA"/>
        </w:rPr>
        <w:t>розподілити наступним чином:</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xml:space="preserve">- 50%, що становить </w:t>
      </w:r>
      <w:r w:rsidRPr="00B853C5">
        <w:rPr>
          <w:rFonts w:ascii="Times New Roman" w:hAnsi="Times New Roman"/>
          <w:sz w:val="24"/>
          <w:szCs w:val="24"/>
          <w:shd w:val="clear" w:color="auto" w:fill="FFFFFF"/>
          <w:lang w:val="uk-UA"/>
        </w:rPr>
        <w:t>1 730 007,73</w:t>
      </w:r>
      <w:r w:rsidRPr="00B853C5">
        <w:rPr>
          <w:rFonts w:ascii="Times New Roman" w:hAnsi="Times New Roman"/>
          <w:sz w:val="24"/>
          <w:szCs w:val="24"/>
          <w:lang w:val="uk-UA"/>
        </w:rPr>
        <w:t xml:space="preserve"> грн., направити на виплату дивідендів (1,20699 грн. на одну акцію);</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xml:space="preserve">- 50%, що становить </w:t>
      </w:r>
      <w:r w:rsidRPr="00B853C5">
        <w:rPr>
          <w:rFonts w:ascii="Times New Roman" w:hAnsi="Times New Roman"/>
          <w:sz w:val="24"/>
          <w:szCs w:val="24"/>
          <w:shd w:val="clear" w:color="auto" w:fill="FFFFFF"/>
          <w:lang w:val="uk-UA"/>
        </w:rPr>
        <w:t>1 730 007,73</w:t>
      </w:r>
      <w:r w:rsidRPr="00B853C5">
        <w:rPr>
          <w:rFonts w:ascii="Times New Roman" w:hAnsi="Times New Roman"/>
          <w:sz w:val="24"/>
          <w:szCs w:val="24"/>
          <w:lang w:val="uk-UA"/>
        </w:rPr>
        <w:t xml:space="preserve"> грн., залишити нерозподіленим. </w:t>
      </w:r>
    </w:p>
    <w:p w:rsidR="00CB41C9" w:rsidRPr="00B853C5" w:rsidRDefault="00CB41C9" w:rsidP="00CB41C9">
      <w:pPr>
        <w:spacing w:after="0" w:line="240" w:lineRule="auto"/>
        <w:ind w:firstLine="709"/>
        <w:jc w:val="both"/>
        <w:rPr>
          <w:rFonts w:ascii="Times New Roman" w:hAnsi="Times New Roman"/>
          <w:bCs/>
          <w:sz w:val="24"/>
          <w:szCs w:val="24"/>
          <w:lang w:val="uk-UA"/>
        </w:rPr>
      </w:pPr>
      <w:r w:rsidRPr="00B853C5">
        <w:rPr>
          <w:rFonts w:ascii="Times New Roman" w:hAnsi="Times New Roman"/>
          <w:sz w:val="24"/>
          <w:szCs w:val="24"/>
          <w:lang w:val="uk-UA"/>
        </w:rPr>
        <w:t>Затвердити спосіб виплати дивідендів – безпосередньо акціонерам.</w:t>
      </w:r>
    </w:p>
    <w:p w:rsidR="00CB41C9" w:rsidRPr="00B853C5" w:rsidRDefault="00CB41C9" w:rsidP="00CB41C9">
      <w:pPr>
        <w:spacing w:after="0" w:line="240" w:lineRule="auto"/>
        <w:ind w:firstLine="709"/>
        <w:jc w:val="both"/>
        <w:rPr>
          <w:rFonts w:ascii="Times New Roman" w:hAnsi="Times New Roman"/>
          <w:b/>
          <w:bCs/>
          <w:sz w:val="24"/>
          <w:szCs w:val="24"/>
          <w:lang w:val="uk-UA"/>
        </w:rPr>
      </w:pPr>
      <w:r w:rsidRPr="00B853C5">
        <w:rPr>
          <w:rFonts w:ascii="Times New Roman" w:hAnsi="Times New Roman"/>
          <w:b/>
          <w:bCs/>
          <w:sz w:val="24"/>
          <w:szCs w:val="24"/>
          <w:lang w:val="uk-UA"/>
        </w:rPr>
        <w:t>5. Схвалення значних правочинів.</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u w:val="single"/>
          <w:lang w:val="uk-UA"/>
        </w:rPr>
        <w:t>Проєкт рішення</w:t>
      </w:r>
      <w:r w:rsidRPr="00B853C5">
        <w:rPr>
          <w:rFonts w:ascii="Times New Roman" w:hAnsi="Times New Roman"/>
          <w:sz w:val="24"/>
          <w:szCs w:val="24"/>
          <w:lang w:val="uk-UA"/>
        </w:rPr>
        <w:t>: Схвалити наступні значні правочини:</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з ПП «СТАНДАРТ ТРЕЙД» Договір №2 від 21.03.2020 на виготовлення продукції на суму 5 165,1 тис. грн.;</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з ТОВ «ПРОМТЕХПОСТАВКА» Договір №8 від 26.05.2020 на виготовлення продукції на суму 3 937,8 тис. грн.;</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з ТОВ «АВГУСТА» Договір №Е-21/0171 від 01.10.2021 на надання послуг на суму            1 416,8 тис. грн.;</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з ТОВ «МЕГАТРЕЙДІНГ» Договір №ЕЕ21/2701-1 від 27.01.2021 на постачання електроенергії на суму 2 218,9 тис. грн.;</w:t>
      </w:r>
    </w:p>
    <w:p w:rsidR="00CB41C9" w:rsidRPr="00B853C5" w:rsidRDefault="00CB41C9" w:rsidP="00CB41C9">
      <w:pPr>
        <w:pStyle w:val="1"/>
        <w:spacing w:before="0" w:line="240" w:lineRule="auto"/>
        <w:ind w:firstLine="709"/>
        <w:jc w:val="both"/>
        <w:rPr>
          <w:rFonts w:ascii="Times New Roman" w:hAnsi="Times New Roman" w:cs="Times New Roman"/>
          <w:color w:val="auto"/>
          <w:sz w:val="24"/>
          <w:szCs w:val="24"/>
          <w:lang w:val="uk-UA"/>
        </w:rPr>
      </w:pPr>
      <w:r w:rsidRPr="00B853C5">
        <w:rPr>
          <w:rFonts w:ascii="Times New Roman" w:hAnsi="Times New Roman" w:cs="Times New Roman"/>
          <w:color w:val="auto"/>
          <w:sz w:val="24"/>
          <w:szCs w:val="24"/>
          <w:lang w:val="uk-UA"/>
        </w:rPr>
        <w:t>- з ДП «</w:t>
      </w:r>
      <w:r w:rsidRPr="00B853C5">
        <w:rPr>
          <w:rFonts w:ascii="Times New Roman" w:eastAsia="Times New Roman" w:hAnsi="Times New Roman" w:cs="Times New Roman"/>
          <w:bCs/>
          <w:color w:val="auto"/>
          <w:kern w:val="36"/>
          <w:sz w:val="24"/>
          <w:szCs w:val="24"/>
        </w:rPr>
        <w:t>КРАСИЛІВСЬКИЙ АГРЕГАТНИЙ ЗАВОД</w:t>
      </w:r>
      <w:r w:rsidRPr="00B853C5">
        <w:rPr>
          <w:rFonts w:ascii="Times New Roman" w:eastAsia="Times New Roman" w:hAnsi="Times New Roman" w:cs="Times New Roman"/>
          <w:bCs/>
          <w:color w:val="auto"/>
          <w:kern w:val="36"/>
          <w:sz w:val="24"/>
          <w:szCs w:val="24"/>
          <w:lang w:val="uk-UA"/>
        </w:rPr>
        <w:t xml:space="preserve">» </w:t>
      </w:r>
      <w:r w:rsidRPr="00B853C5">
        <w:rPr>
          <w:rFonts w:ascii="Times New Roman" w:hAnsi="Times New Roman" w:cs="Times New Roman"/>
          <w:color w:val="auto"/>
          <w:sz w:val="24"/>
          <w:szCs w:val="24"/>
          <w:lang w:val="uk-UA"/>
        </w:rPr>
        <w:t>Договір №4 від 06.02.2019 на виготовлення продукції на суму 2 257,9 тис. грн.;</w:t>
      </w:r>
    </w:p>
    <w:p w:rsidR="00CB41C9" w:rsidRPr="00B853C5" w:rsidRDefault="00CB41C9" w:rsidP="00CB41C9">
      <w:pPr>
        <w:pStyle w:val="1"/>
        <w:spacing w:before="0" w:line="240" w:lineRule="auto"/>
        <w:ind w:firstLine="709"/>
        <w:jc w:val="both"/>
        <w:rPr>
          <w:rFonts w:ascii="Times New Roman" w:hAnsi="Times New Roman" w:cs="Times New Roman"/>
          <w:color w:val="auto"/>
          <w:sz w:val="24"/>
          <w:szCs w:val="24"/>
          <w:lang w:val="uk-UA"/>
        </w:rPr>
      </w:pPr>
      <w:r w:rsidRPr="00B853C5">
        <w:rPr>
          <w:rFonts w:ascii="Times New Roman" w:hAnsi="Times New Roman" w:cs="Times New Roman"/>
          <w:color w:val="auto"/>
          <w:sz w:val="24"/>
          <w:szCs w:val="24"/>
          <w:lang w:val="uk-UA"/>
        </w:rPr>
        <w:t>- з ПрАТ «</w:t>
      </w:r>
      <w:r w:rsidRPr="00B853C5">
        <w:rPr>
          <w:rFonts w:ascii="Times New Roman" w:hAnsi="Times New Roman" w:cs="Times New Roman"/>
          <w:color w:val="auto"/>
          <w:sz w:val="24"/>
          <w:szCs w:val="24"/>
        </w:rPr>
        <w:t>ХОРОЛЬСЬКИЙ МЕХАНІЧНИЙ ЗАВОД</w:t>
      </w:r>
      <w:r w:rsidRPr="00B853C5">
        <w:rPr>
          <w:rFonts w:ascii="Times New Roman" w:hAnsi="Times New Roman" w:cs="Times New Roman"/>
          <w:color w:val="auto"/>
          <w:sz w:val="24"/>
          <w:szCs w:val="24"/>
          <w:lang w:val="uk-UA"/>
        </w:rPr>
        <w:t>» Договір №31 від 09.07.2018 на виготовлення продукції на суму 2 346,3 тис. грн.</w:t>
      </w:r>
    </w:p>
    <w:p w:rsidR="00CB41C9" w:rsidRPr="00B853C5" w:rsidRDefault="00CB41C9" w:rsidP="00CB41C9">
      <w:pPr>
        <w:spacing w:after="0" w:line="240" w:lineRule="auto"/>
        <w:ind w:firstLine="709"/>
        <w:jc w:val="both"/>
        <w:rPr>
          <w:rFonts w:ascii="Times New Roman" w:hAnsi="Times New Roman"/>
          <w:b/>
          <w:sz w:val="24"/>
          <w:szCs w:val="24"/>
          <w:lang w:val="uk-UA"/>
        </w:rPr>
      </w:pPr>
      <w:r w:rsidRPr="00B853C5">
        <w:rPr>
          <w:rFonts w:ascii="Times New Roman" w:hAnsi="Times New Roman"/>
          <w:b/>
          <w:sz w:val="24"/>
          <w:szCs w:val="24"/>
          <w:lang w:val="uk-UA"/>
        </w:rPr>
        <w:t>6. Схвалення правочинів, щодо вчинення яких є заінтересованість.</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u w:val="single"/>
          <w:lang w:val="uk-UA"/>
        </w:rPr>
        <w:t>Проєкт рішення</w:t>
      </w:r>
      <w:r w:rsidRPr="00B853C5">
        <w:rPr>
          <w:rFonts w:ascii="Times New Roman" w:hAnsi="Times New Roman"/>
          <w:sz w:val="24"/>
          <w:szCs w:val="24"/>
          <w:lang w:val="uk-UA"/>
        </w:rPr>
        <w:t>: Схвалити наступні правочини з ДАХК «АРТЕМ», щодо вчинення яких є заінтересованість:</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Договір №44-20 від 21.07.2018 на виготовлення продукції на суму 1 659,7 тис. грн.;</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Договір №63-21 від 03.02.2021 на виготовлення продукції на суму 3 234,6 тис. грн.;</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Договір №64-21 від 03.02.2021 на виготовлення продукції на суму 14 295,5 тис. грн.;</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Договір №6 від 07.06.2021 на виготовлення продукції на суму 14 463,7 тис. грн.;</w:t>
      </w:r>
    </w:p>
    <w:p w:rsidR="00CB41C9" w:rsidRPr="00B853C5" w:rsidRDefault="00CB41C9" w:rsidP="00CB41C9">
      <w:pPr>
        <w:tabs>
          <w:tab w:val="left" w:pos="0"/>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Договір №044-26/2021 від 26.01.2021 на постачання матеріалів на суму 8 133,9 тис. грн.</w:t>
      </w:r>
    </w:p>
    <w:p w:rsidR="00CB41C9" w:rsidRPr="00B853C5" w:rsidRDefault="00CB41C9" w:rsidP="00CB41C9">
      <w:pPr>
        <w:spacing w:after="0" w:line="240" w:lineRule="auto"/>
        <w:ind w:firstLine="709"/>
        <w:jc w:val="both"/>
        <w:rPr>
          <w:rFonts w:ascii="Times New Roman" w:hAnsi="Times New Roman"/>
          <w:b/>
          <w:sz w:val="24"/>
          <w:szCs w:val="24"/>
          <w:lang w:val="uk-UA"/>
        </w:rPr>
      </w:pPr>
      <w:r w:rsidRPr="00B853C5">
        <w:rPr>
          <w:rFonts w:ascii="Times New Roman" w:hAnsi="Times New Roman"/>
          <w:b/>
          <w:bCs/>
          <w:sz w:val="24"/>
          <w:szCs w:val="24"/>
          <w:lang w:val="uk-UA"/>
        </w:rPr>
        <w:t>7. П</w:t>
      </w:r>
      <w:r w:rsidRPr="00B853C5">
        <w:rPr>
          <w:rFonts w:ascii="Times New Roman" w:hAnsi="Times New Roman"/>
          <w:b/>
          <w:sz w:val="24"/>
          <w:szCs w:val="24"/>
          <w:lang w:val="uk-UA"/>
        </w:rPr>
        <w:t>опереднє надання згоди на вчинення значних правочинів.</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Style w:val="a4"/>
          <w:rFonts w:ascii="Times New Roman" w:hAnsi="Times New Roman"/>
          <w:sz w:val="24"/>
          <w:szCs w:val="24"/>
          <w:lang w:val="uk-UA"/>
        </w:rPr>
        <w:t>Проєкт рішення</w:t>
      </w:r>
      <w:r w:rsidRPr="00B853C5">
        <w:rPr>
          <w:rFonts w:ascii="Times New Roman" w:hAnsi="Times New Roman"/>
          <w:sz w:val="24"/>
          <w:szCs w:val="24"/>
          <w:lang w:val="uk-UA"/>
        </w:rPr>
        <w:t xml:space="preserve">: Попередньо надати згоду на вчинення значних правочинів, </w:t>
      </w:r>
      <w:r w:rsidRPr="00B853C5">
        <w:rPr>
          <w:rFonts w:ascii="Times New Roman" w:hAnsi="Times New Roman"/>
          <w:bCs/>
          <w:sz w:val="24"/>
          <w:szCs w:val="24"/>
          <w:lang w:val="uk-UA"/>
        </w:rPr>
        <w:t xml:space="preserve">які можуть вчинятися Товариством </w:t>
      </w:r>
      <w:r w:rsidRPr="00B853C5">
        <w:rPr>
          <w:rFonts w:ascii="Times New Roman" w:hAnsi="Times New Roman"/>
          <w:sz w:val="24"/>
          <w:szCs w:val="24"/>
          <w:lang w:val="uk-UA"/>
        </w:rPr>
        <w:t xml:space="preserve">протягом року, тобто до </w:t>
      </w:r>
      <w:r w:rsidRPr="001F1779">
        <w:rPr>
          <w:rFonts w:ascii="Times New Roman" w:hAnsi="Times New Roman"/>
          <w:sz w:val="24"/>
          <w:szCs w:val="24"/>
        </w:rPr>
        <w:t>15.12</w:t>
      </w:r>
      <w:r>
        <w:rPr>
          <w:rFonts w:ascii="Times New Roman" w:hAnsi="Times New Roman"/>
          <w:sz w:val="24"/>
          <w:szCs w:val="24"/>
          <w:lang w:val="uk-UA"/>
        </w:rPr>
        <w:t>.2023</w:t>
      </w:r>
      <w:r w:rsidRPr="00B853C5">
        <w:rPr>
          <w:rFonts w:ascii="Times New Roman" w:hAnsi="Times New Roman"/>
          <w:sz w:val="24"/>
          <w:szCs w:val="24"/>
          <w:lang w:val="uk-UA"/>
        </w:rPr>
        <w:t xml:space="preserve">, на граничну сукупну вартість             </w:t>
      </w:r>
      <w:r w:rsidRPr="00B853C5">
        <w:rPr>
          <w:rFonts w:ascii="Times New Roman" w:hAnsi="Times New Roman"/>
          <w:sz w:val="24"/>
          <w:szCs w:val="24"/>
          <w:lang w:val="uk-UA"/>
        </w:rPr>
        <w:lastRenderedPageBreak/>
        <w:t>100 000,0 тис.</w:t>
      </w:r>
      <w:r>
        <w:rPr>
          <w:rFonts w:ascii="Times New Roman" w:hAnsi="Times New Roman"/>
          <w:sz w:val="24"/>
          <w:szCs w:val="24"/>
          <w:lang w:val="uk-UA"/>
        </w:rPr>
        <w:t xml:space="preserve"> </w:t>
      </w:r>
      <w:r w:rsidRPr="00B853C5">
        <w:rPr>
          <w:rFonts w:ascii="Times New Roman" w:hAnsi="Times New Roman"/>
          <w:sz w:val="24"/>
          <w:szCs w:val="24"/>
          <w:lang w:val="uk-UA"/>
        </w:rPr>
        <w:t>грн., а саме: договорів на виготовлення продукції; договорів на отримання енергоносіїв, послуг, матеріалів.</w:t>
      </w:r>
    </w:p>
    <w:p w:rsidR="00CB41C9" w:rsidRPr="00B853C5" w:rsidRDefault="00CB41C9" w:rsidP="00CB41C9">
      <w:pPr>
        <w:spacing w:after="0" w:line="240" w:lineRule="auto"/>
        <w:ind w:firstLine="709"/>
        <w:jc w:val="both"/>
        <w:rPr>
          <w:rFonts w:ascii="Times New Roman" w:hAnsi="Times New Roman"/>
          <w:sz w:val="24"/>
          <w:szCs w:val="24"/>
          <w:lang w:val="uk-UA"/>
        </w:rPr>
      </w:pPr>
    </w:p>
    <w:p w:rsidR="00CB41C9" w:rsidRPr="00B853C5" w:rsidRDefault="00CB41C9" w:rsidP="00CB41C9">
      <w:pPr>
        <w:spacing w:after="0" w:line="240" w:lineRule="auto"/>
        <w:ind w:firstLine="709"/>
        <w:jc w:val="center"/>
        <w:rPr>
          <w:rFonts w:ascii="Times New Roman" w:hAnsi="Times New Roman"/>
          <w:b/>
          <w:sz w:val="24"/>
          <w:szCs w:val="24"/>
          <w:lang w:val="uk-UA"/>
        </w:rPr>
      </w:pPr>
      <w:r w:rsidRPr="00B853C5">
        <w:rPr>
          <w:rFonts w:ascii="Times New Roman" w:hAnsi="Times New Roman"/>
          <w:b/>
          <w:sz w:val="24"/>
          <w:szCs w:val="24"/>
          <w:lang w:val="uk-UA"/>
        </w:rPr>
        <w:t>Основні показники фінансово-господарської діяльності підприємства (тис. грн.)</w:t>
      </w:r>
    </w:p>
    <w:p w:rsidR="00CB41C9" w:rsidRPr="00B853C5" w:rsidRDefault="00CB41C9" w:rsidP="00CB41C9">
      <w:pPr>
        <w:spacing w:after="0" w:line="240" w:lineRule="auto"/>
        <w:ind w:firstLine="709"/>
        <w:jc w:val="both"/>
        <w:rPr>
          <w:rFonts w:ascii="Times New Roman" w:hAnsi="Times New Roman"/>
          <w:b/>
          <w:sz w:val="24"/>
          <w:szCs w:val="24"/>
          <w:lang w:val="uk-UA"/>
        </w:rPr>
      </w:pPr>
    </w:p>
    <w:tbl>
      <w:tblPr>
        <w:tblStyle w:val="a7"/>
        <w:tblW w:w="0" w:type="auto"/>
        <w:tblLook w:val="04A0" w:firstRow="1" w:lastRow="0" w:firstColumn="1" w:lastColumn="0" w:noHBand="0" w:noVBand="1"/>
      </w:tblPr>
      <w:tblGrid>
        <w:gridCol w:w="6112"/>
        <w:gridCol w:w="1726"/>
        <w:gridCol w:w="2074"/>
      </w:tblGrid>
      <w:tr w:rsidR="00CB41C9" w:rsidRPr="00B853C5" w:rsidTr="009B4E2D">
        <w:tc>
          <w:tcPr>
            <w:tcW w:w="6318" w:type="dxa"/>
            <w:vMerge w:val="restart"/>
          </w:tcPr>
          <w:p w:rsidR="00CB41C9" w:rsidRPr="00B853C5" w:rsidRDefault="00CB41C9" w:rsidP="009B4E2D">
            <w:pPr>
              <w:spacing w:after="0" w:line="240" w:lineRule="auto"/>
              <w:ind w:firstLine="709"/>
              <w:jc w:val="center"/>
              <w:rPr>
                <w:rFonts w:ascii="Times New Roman" w:hAnsi="Times New Roman"/>
                <w:b/>
                <w:sz w:val="24"/>
                <w:szCs w:val="24"/>
                <w:lang w:val="uk-UA"/>
              </w:rPr>
            </w:pPr>
            <w:r w:rsidRPr="00B853C5">
              <w:rPr>
                <w:rFonts w:ascii="Times New Roman" w:hAnsi="Times New Roman"/>
                <w:b/>
                <w:sz w:val="24"/>
                <w:szCs w:val="24"/>
                <w:lang w:val="uk-UA"/>
              </w:rPr>
              <w:t>Найменування показника</w:t>
            </w:r>
          </w:p>
        </w:tc>
        <w:tc>
          <w:tcPr>
            <w:tcW w:w="3876" w:type="dxa"/>
            <w:gridSpan w:val="2"/>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період</w:t>
            </w:r>
          </w:p>
        </w:tc>
      </w:tr>
      <w:tr w:rsidR="00CB41C9" w:rsidRPr="00B853C5" w:rsidTr="009B4E2D">
        <w:tc>
          <w:tcPr>
            <w:tcW w:w="6318" w:type="dxa"/>
            <w:vMerge/>
          </w:tcPr>
          <w:p w:rsidR="00CB41C9" w:rsidRPr="00B853C5" w:rsidRDefault="00CB41C9" w:rsidP="009B4E2D">
            <w:pPr>
              <w:spacing w:after="0" w:line="240" w:lineRule="auto"/>
              <w:ind w:firstLine="709"/>
              <w:jc w:val="both"/>
              <w:rPr>
                <w:rFonts w:ascii="Times New Roman" w:hAnsi="Times New Roman"/>
                <w:sz w:val="24"/>
                <w:szCs w:val="24"/>
                <w:lang w:val="uk-UA"/>
              </w:rPr>
            </w:pPr>
          </w:p>
        </w:tc>
        <w:tc>
          <w:tcPr>
            <w:tcW w:w="1765" w:type="dxa"/>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звітний</w:t>
            </w:r>
          </w:p>
        </w:tc>
        <w:tc>
          <w:tcPr>
            <w:tcW w:w="2111" w:type="dxa"/>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попередній</w:t>
            </w:r>
          </w:p>
        </w:tc>
      </w:tr>
      <w:tr w:rsidR="00CB41C9" w:rsidRPr="00B853C5" w:rsidTr="009B4E2D">
        <w:tc>
          <w:tcPr>
            <w:tcW w:w="6318" w:type="dxa"/>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1</w:t>
            </w:r>
          </w:p>
        </w:tc>
        <w:tc>
          <w:tcPr>
            <w:tcW w:w="1765" w:type="dxa"/>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2</w:t>
            </w:r>
          </w:p>
        </w:tc>
        <w:tc>
          <w:tcPr>
            <w:tcW w:w="2111" w:type="dxa"/>
          </w:tcPr>
          <w:p w:rsidR="00CB41C9" w:rsidRPr="00B853C5" w:rsidRDefault="00CB41C9" w:rsidP="009B4E2D">
            <w:pPr>
              <w:spacing w:after="0" w:line="240" w:lineRule="auto"/>
              <w:jc w:val="center"/>
              <w:rPr>
                <w:rFonts w:ascii="Times New Roman" w:hAnsi="Times New Roman"/>
                <w:b/>
                <w:sz w:val="24"/>
                <w:szCs w:val="24"/>
                <w:lang w:val="uk-UA"/>
              </w:rPr>
            </w:pPr>
            <w:r w:rsidRPr="00B853C5">
              <w:rPr>
                <w:rFonts w:ascii="Times New Roman" w:hAnsi="Times New Roman"/>
                <w:b/>
                <w:sz w:val="24"/>
                <w:szCs w:val="24"/>
                <w:lang w:val="uk-UA"/>
              </w:rPr>
              <w:t>3</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Усього активів</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14 671</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11 545</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Основні засоби (за залишковою вартістю)</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4 348</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4 627</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Запаси</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966</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764</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Сумарна дебіторська заборгованість</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6 994</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5 255</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Гроші та їх еквіваленти</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1 874</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446</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Нерозподілений прибуток (непокритий збиток)</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6 860</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3 599</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Власний капітал</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9 039</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5 778</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Зареєстрований (пайовий/статутний) капітал</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358</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358</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Довгострокові зобов'язання і забезпечення</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0</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0</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Поточні зобов'язання і забезпечення</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5 632</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5 767</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Чистий фінансовий результат: прибуток (збиток)</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3460</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398</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Середньорічна кількість акцій (шт.)</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1 433 324</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1 433 324</w:t>
            </w:r>
          </w:p>
        </w:tc>
      </w:tr>
      <w:tr w:rsidR="00CB41C9" w:rsidRPr="00B853C5" w:rsidTr="009B4E2D">
        <w:tc>
          <w:tcPr>
            <w:tcW w:w="6318" w:type="dxa"/>
          </w:tcPr>
          <w:p w:rsidR="00CB41C9" w:rsidRPr="00B853C5" w:rsidRDefault="00CB41C9" w:rsidP="009B4E2D">
            <w:pPr>
              <w:spacing w:after="0" w:line="240" w:lineRule="auto"/>
              <w:jc w:val="both"/>
              <w:rPr>
                <w:rFonts w:ascii="Times New Roman" w:hAnsi="Times New Roman"/>
                <w:sz w:val="24"/>
                <w:szCs w:val="24"/>
                <w:lang w:val="uk-UA"/>
              </w:rPr>
            </w:pPr>
            <w:r w:rsidRPr="00B853C5">
              <w:rPr>
                <w:rFonts w:ascii="Times New Roman" w:hAnsi="Times New Roman"/>
                <w:sz w:val="24"/>
                <w:szCs w:val="24"/>
                <w:lang w:val="uk-UA"/>
              </w:rPr>
              <w:t>Чистий прибуток (збиток) на одну просту акцію (грн.)</w:t>
            </w:r>
          </w:p>
        </w:tc>
        <w:tc>
          <w:tcPr>
            <w:tcW w:w="1765"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eastAsia="uk-UA"/>
              </w:rPr>
              <w:t>2,41397</w:t>
            </w:r>
          </w:p>
        </w:tc>
        <w:tc>
          <w:tcPr>
            <w:tcW w:w="2111" w:type="dxa"/>
          </w:tcPr>
          <w:p w:rsidR="00CB41C9" w:rsidRPr="00B853C5" w:rsidRDefault="00CB41C9" w:rsidP="009B4E2D">
            <w:pPr>
              <w:spacing w:after="0" w:line="240" w:lineRule="auto"/>
              <w:jc w:val="center"/>
              <w:rPr>
                <w:rFonts w:ascii="Times New Roman" w:hAnsi="Times New Roman"/>
                <w:sz w:val="24"/>
                <w:szCs w:val="24"/>
                <w:lang w:val="uk-UA"/>
              </w:rPr>
            </w:pPr>
            <w:r w:rsidRPr="00B853C5">
              <w:rPr>
                <w:rFonts w:ascii="Times New Roman" w:hAnsi="Times New Roman"/>
                <w:sz w:val="24"/>
                <w:szCs w:val="24"/>
                <w:lang w:val="uk-UA"/>
              </w:rPr>
              <w:t>0,27768</w:t>
            </w:r>
          </w:p>
        </w:tc>
      </w:tr>
    </w:tbl>
    <w:p w:rsidR="00CB41C9" w:rsidRPr="00B853C5" w:rsidRDefault="00CB41C9" w:rsidP="00CB41C9">
      <w:pPr>
        <w:spacing w:after="0" w:line="240" w:lineRule="auto"/>
        <w:ind w:firstLine="709"/>
        <w:jc w:val="both"/>
        <w:rPr>
          <w:rFonts w:ascii="Times New Roman" w:hAnsi="Times New Roman"/>
          <w:sz w:val="24"/>
          <w:szCs w:val="24"/>
          <w:lang w:val="uk-UA"/>
        </w:rPr>
      </w:pP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Акціонери до дати проведення загальних зборів мають право ознайомитись з матеріалами до загальних зборів та документами, необхідними для прийняття рішень з питань, включених до проєкту порядку денного. Запит на ознайомлення з документами, необхідними акціонерам для прийняття рішень з питань, включених до проєкту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зазначену в цьому повідомленні нижче.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Особою, відповідальною за ознайомлення акціонерів з документами, є Д</w:t>
      </w:r>
      <w:r w:rsidRPr="00B853C5">
        <w:rPr>
          <w:rFonts w:ascii="Times New Roman" w:hAnsi="Times New Roman"/>
          <w:iCs/>
          <w:sz w:val="24"/>
          <w:szCs w:val="24"/>
          <w:shd w:val="clear" w:color="auto" w:fill="FFFFFF"/>
          <w:lang w:val="uk-UA"/>
        </w:rPr>
        <w:t>иректор Товариства</w:t>
      </w:r>
      <w:r w:rsidRPr="00B853C5">
        <w:rPr>
          <w:rFonts w:ascii="Times New Roman" w:hAnsi="Times New Roman"/>
          <w:sz w:val="24"/>
          <w:szCs w:val="24"/>
          <w:lang w:val="uk-UA"/>
        </w:rPr>
        <w:t xml:space="preserve"> Головін Володимир Миколайович, телефон </w:t>
      </w:r>
      <w:r w:rsidRPr="00B853C5">
        <w:rPr>
          <w:rFonts w:ascii="Times New Roman" w:hAnsi="Times New Roman"/>
          <w:noProof/>
          <w:snapToGrid w:val="0"/>
          <w:sz w:val="24"/>
          <w:szCs w:val="24"/>
          <w:lang w:val="uk-UA"/>
        </w:rPr>
        <w:t>(04598)7-22-62</w:t>
      </w:r>
      <w:r w:rsidRPr="00B853C5">
        <w:rPr>
          <w:rFonts w:ascii="Times New Roman" w:hAnsi="Times New Roman"/>
          <w:sz w:val="24"/>
          <w:szCs w:val="24"/>
          <w:lang w:val="uk-UA"/>
        </w:rPr>
        <w:t xml:space="preserve">. Адреса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проєкту порядку денного загальних зборів та </w:t>
      </w:r>
      <w:proofErr w:type="spellStart"/>
      <w:r w:rsidRPr="00B853C5">
        <w:rPr>
          <w:rFonts w:ascii="Times New Roman" w:hAnsi="Times New Roman"/>
          <w:sz w:val="24"/>
          <w:szCs w:val="24"/>
          <w:lang w:val="uk-UA"/>
        </w:rPr>
        <w:t>проєктів</w:t>
      </w:r>
      <w:proofErr w:type="spellEnd"/>
      <w:r w:rsidRPr="00B853C5">
        <w:rPr>
          <w:rFonts w:ascii="Times New Roman" w:hAnsi="Times New Roman"/>
          <w:sz w:val="24"/>
          <w:szCs w:val="24"/>
          <w:lang w:val="uk-UA"/>
        </w:rPr>
        <w:t xml:space="preserve"> рішень – vlkz@ukr.net. Адреса веб-сайту, на якому розміщена інформація з </w:t>
      </w:r>
      <w:proofErr w:type="spellStart"/>
      <w:r w:rsidRPr="00B853C5">
        <w:rPr>
          <w:rFonts w:ascii="Times New Roman" w:hAnsi="Times New Roman"/>
          <w:sz w:val="24"/>
          <w:szCs w:val="24"/>
          <w:lang w:val="uk-UA"/>
        </w:rPr>
        <w:t>проєктами</w:t>
      </w:r>
      <w:proofErr w:type="spellEnd"/>
      <w:r w:rsidRPr="00B853C5">
        <w:rPr>
          <w:rFonts w:ascii="Times New Roman" w:hAnsi="Times New Roman"/>
          <w:sz w:val="24"/>
          <w:szCs w:val="24"/>
          <w:lang w:val="uk-UA"/>
        </w:rPr>
        <w:t xml:space="preserve"> рішень до кожного з питань, включеного до проєкту порядку денного та інша інформація, передбачена чинним законодавством України: </w:t>
      </w:r>
      <w:hyperlink r:id="rId4" w:history="1">
        <w:r w:rsidRPr="00B853C5">
          <w:rPr>
            <w:rStyle w:val="a3"/>
            <w:rFonts w:ascii="Times New Roman" w:eastAsia="Calibri" w:hAnsi="Times New Roman"/>
            <w:color w:val="auto"/>
            <w:sz w:val="24"/>
            <w:szCs w:val="24"/>
            <w:lang w:val="uk-UA"/>
          </w:rPr>
          <w:t>http://vlkz.com.ua</w:t>
        </w:r>
      </w:hyperlink>
      <w:r w:rsidRPr="00B853C5">
        <w:rPr>
          <w:rFonts w:ascii="Times New Roman" w:hAnsi="Times New Roman"/>
          <w:sz w:val="24"/>
          <w:szCs w:val="24"/>
          <w:lang w:val="uk-UA"/>
        </w:rPr>
        <w:t>.</w:t>
      </w:r>
    </w:p>
    <w:p w:rsidR="00CB41C9" w:rsidRPr="00B853C5" w:rsidRDefault="00CB41C9" w:rsidP="00CB41C9">
      <w:pPr>
        <w:tabs>
          <w:tab w:val="left" w:pos="1701"/>
        </w:tabs>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t xml:space="preserve">Акціонери мають право надсилати свої пропозиції до проєкту порядку денного за адресою: </w:t>
      </w:r>
      <w:r w:rsidRPr="00B853C5">
        <w:rPr>
          <w:rFonts w:ascii="Times New Roman" w:hAnsi="Times New Roman"/>
          <w:spacing w:val="-2"/>
          <w:sz w:val="24"/>
          <w:szCs w:val="24"/>
          <w:lang w:val="uk-UA"/>
        </w:rPr>
        <w:t xml:space="preserve">08132, </w:t>
      </w:r>
      <w:r w:rsidRPr="00B853C5">
        <w:rPr>
          <w:rFonts w:ascii="Times New Roman" w:hAnsi="Times New Roman"/>
          <w:sz w:val="24"/>
          <w:szCs w:val="24"/>
          <w:lang w:val="uk-UA"/>
        </w:rPr>
        <w:t>Київська обл., м. Вишневе, вул. Ломоносова, 1, не пізніше ніж за 20 днів до дня проведення загальних зборів. Пропозиції подаються в письмовій формі та мають містити прізвище, ім’я, по батькові або найменування акціонера(</w:t>
      </w:r>
      <w:proofErr w:type="spellStart"/>
      <w:r w:rsidRPr="00B853C5">
        <w:rPr>
          <w:rFonts w:ascii="Times New Roman" w:hAnsi="Times New Roman"/>
          <w:sz w:val="24"/>
          <w:szCs w:val="24"/>
          <w:lang w:val="uk-UA"/>
        </w:rPr>
        <w:t>ів</w:t>
      </w:r>
      <w:proofErr w:type="spellEnd"/>
      <w:r w:rsidRPr="00B853C5">
        <w:rPr>
          <w:rFonts w:ascii="Times New Roman" w:hAnsi="Times New Roman"/>
          <w:sz w:val="24"/>
          <w:szCs w:val="24"/>
          <w:lang w:val="uk-UA"/>
        </w:rPr>
        <w:t xml:space="preserve">), який її вносить, кількість та тип належних йому акцій Товариства, запропоноване питання для включення до порядку денного з </w:t>
      </w:r>
      <w:proofErr w:type="spellStart"/>
      <w:r w:rsidRPr="00B853C5">
        <w:rPr>
          <w:rFonts w:ascii="Times New Roman" w:hAnsi="Times New Roman"/>
          <w:sz w:val="24"/>
          <w:szCs w:val="24"/>
          <w:lang w:val="uk-UA"/>
        </w:rPr>
        <w:t>проєктом</w:t>
      </w:r>
      <w:proofErr w:type="spellEnd"/>
      <w:r w:rsidRPr="00B853C5">
        <w:rPr>
          <w:rFonts w:ascii="Times New Roman" w:hAnsi="Times New Roman"/>
          <w:sz w:val="24"/>
          <w:szCs w:val="24"/>
          <w:lang w:val="uk-UA"/>
        </w:rPr>
        <w:t xml:space="preserve"> рішення та/або проєкт рішення до питання, включеного до порядку денного. Пропозиції акціонерів (акціонера), які сукупно є власниками 5 або більше відсотків голосуючих акцій, підлягають обов’язковому включенню до проєкту порядку денного загальних зборів. Мотивоване рішення про відмову у включенні пропозиції до проєкту порядку денного загальних зборів надсилається наглядовою радою акціонеру протягом 3 днів з моменту його прийняття. 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зазначену в цьому повідомленні вище.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w:t>
      </w:r>
    </w:p>
    <w:p w:rsidR="00CB41C9" w:rsidRPr="00B853C5" w:rsidRDefault="00CB41C9" w:rsidP="00CB41C9">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lastRenderedPageBreak/>
        <w:t xml:space="preserve">Голосування на загальних зборах розпочинається </w:t>
      </w:r>
      <w:r>
        <w:rPr>
          <w:rFonts w:ascii="Times New Roman" w:hAnsi="Times New Roman"/>
          <w:sz w:val="24"/>
          <w:szCs w:val="24"/>
          <w:lang w:val="uk-UA"/>
        </w:rPr>
        <w:t xml:space="preserve">02.12.2022 </w:t>
      </w:r>
      <w:r w:rsidRPr="00B853C5">
        <w:rPr>
          <w:rFonts w:ascii="Times New Roman" w:hAnsi="Times New Roman"/>
          <w:sz w:val="24"/>
          <w:szCs w:val="24"/>
          <w:lang w:val="uk-UA"/>
        </w:rPr>
        <w:t xml:space="preserve">з моменту розміщення єдиного бюлетеня для голосування на власному веб-сайті Товариства </w:t>
      </w:r>
      <w:hyperlink r:id="rId5" w:history="1">
        <w:r w:rsidRPr="00B853C5">
          <w:rPr>
            <w:rStyle w:val="a3"/>
            <w:rFonts w:ascii="Times New Roman" w:eastAsiaTheme="majorEastAsia" w:hAnsi="Times New Roman"/>
            <w:color w:val="auto"/>
            <w:sz w:val="24"/>
            <w:szCs w:val="24"/>
            <w:lang w:val="uk-UA"/>
          </w:rPr>
          <w:t>http://vlkz.com.ua</w:t>
        </w:r>
      </w:hyperlink>
      <w:r w:rsidRPr="00B853C5">
        <w:rPr>
          <w:rFonts w:ascii="Times New Roman" w:hAnsi="Times New Roman"/>
          <w:sz w:val="24"/>
          <w:szCs w:val="24"/>
          <w:lang w:val="uk-UA"/>
        </w:rPr>
        <w:t xml:space="preserve"> та завершується о     18 годині 00 хвилин </w:t>
      </w:r>
      <w:r w:rsidRPr="001F1779">
        <w:rPr>
          <w:rFonts w:ascii="Times New Roman" w:hAnsi="Times New Roman"/>
          <w:sz w:val="24"/>
          <w:szCs w:val="24"/>
        </w:rPr>
        <w:t>15.12</w:t>
      </w:r>
      <w:r>
        <w:rPr>
          <w:rFonts w:ascii="Times New Roman" w:hAnsi="Times New Roman"/>
          <w:sz w:val="24"/>
          <w:szCs w:val="24"/>
          <w:lang w:val="uk-UA"/>
        </w:rPr>
        <w:t xml:space="preserve">.2022. </w:t>
      </w:r>
      <w:r w:rsidRPr="00B853C5">
        <w:rPr>
          <w:rFonts w:ascii="Times New Roman" w:hAnsi="Times New Roman"/>
          <w:sz w:val="24"/>
          <w:szCs w:val="24"/>
          <w:lang w:val="uk-UA"/>
        </w:rPr>
        <w:t>Голосування на загальних зборах з питань порядку денного проводиться виключно з використанням єдиного бюлетеня для голосування.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Бюлетені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Товариства. Акціонер має право призначити свого представника постійно або на певний строк.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1429DA" w:rsidRPr="000C48A6" w:rsidRDefault="00CB41C9" w:rsidP="000C48A6">
      <w:pPr>
        <w:spacing w:after="0" w:line="240" w:lineRule="auto"/>
        <w:ind w:firstLine="709"/>
        <w:jc w:val="both"/>
        <w:rPr>
          <w:rFonts w:ascii="Times New Roman" w:hAnsi="Times New Roman"/>
          <w:sz w:val="24"/>
          <w:szCs w:val="24"/>
          <w:lang w:val="uk-UA"/>
        </w:rPr>
      </w:pPr>
      <w:r w:rsidRPr="00B853C5">
        <w:rPr>
          <w:rFonts w:ascii="Times New Roman" w:hAnsi="Times New Roman"/>
          <w:sz w:val="24"/>
          <w:szCs w:val="24"/>
          <w:lang w:val="uk-UA"/>
        </w:rPr>
        <w:lastRenderedPageBreak/>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w:t>
      </w:r>
      <w:r w:rsidR="000C48A6">
        <w:rPr>
          <w:rFonts w:ascii="Times New Roman" w:hAnsi="Times New Roman"/>
          <w:sz w:val="24"/>
          <w:szCs w:val="24"/>
          <w:lang w:val="uk-UA"/>
        </w:rPr>
        <w:t>х зборах акціонерів Товариства.</w:t>
      </w:r>
    </w:p>
    <w:sectPr w:rsidR="001429DA" w:rsidRPr="000C48A6"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C9"/>
    <w:rsid w:val="000C48A6"/>
    <w:rsid w:val="001429DA"/>
    <w:rsid w:val="00CB41C9"/>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FD9F4-E28C-48E5-8785-C2E1DA27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1C9"/>
    <w:pPr>
      <w:spacing w:after="200" w:line="276" w:lineRule="auto"/>
    </w:pPr>
    <w:rPr>
      <w:rFonts w:ascii="Calibri" w:eastAsia="Times New Roman" w:hAnsi="Calibri" w:cs="Times New Roman"/>
      <w:sz w:val="22"/>
    </w:rPr>
  </w:style>
  <w:style w:type="paragraph" w:styleId="1">
    <w:name w:val="heading 1"/>
    <w:basedOn w:val="a"/>
    <w:next w:val="a"/>
    <w:link w:val="10"/>
    <w:uiPriority w:val="9"/>
    <w:qFormat/>
    <w:rsid w:val="00CB41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1C9"/>
    <w:rPr>
      <w:rFonts w:asciiTheme="majorHAnsi" w:eastAsiaTheme="majorEastAsia" w:hAnsiTheme="majorHAnsi" w:cstheme="majorBidi"/>
      <w:color w:val="2E74B5" w:themeColor="accent1" w:themeShade="BF"/>
      <w:sz w:val="32"/>
      <w:szCs w:val="32"/>
    </w:rPr>
  </w:style>
  <w:style w:type="character" w:styleId="a3">
    <w:name w:val="Hyperlink"/>
    <w:basedOn w:val="a0"/>
    <w:rsid w:val="00CB41C9"/>
    <w:rPr>
      <w:rFonts w:cs="Times New Roman"/>
      <w:color w:val="0000FF"/>
      <w:u w:val="single"/>
    </w:rPr>
  </w:style>
  <w:style w:type="character" w:styleId="a4">
    <w:name w:val="Strong"/>
    <w:basedOn w:val="a0"/>
    <w:qFormat/>
    <w:rsid w:val="00CB41C9"/>
    <w:rPr>
      <w:rFonts w:cs="Times New Roman"/>
      <w:b/>
      <w:bCs/>
    </w:rPr>
  </w:style>
  <w:style w:type="paragraph" w:styleId="a5">
    <w:name w:val="Body Text"/>
    <w:basedOn w:val="a"/>
    <w:link w:val="a6"/>
    <w:rsid w:val="00CB41C9"/>
    <w:pPr>
      <w:spacing w:after="0" w:line="240" w:lineRule="auto"/>
      <w:jc w:val="center"/>
    </w:pPr>
    <w:rPr>
      <w:rFonts w:ascii="Arial" w:eastAsia="Calibri" w:hAnsi="Arial"/>
      <w:b/>
      <w:noProof/>
      <w:color w:val="000000"/>
      <w:sz w:val="20"/>
      <w:szCs w:val="20"/>
      <w:lang w:val="uk-UA" w:eastAsia="ru-RU"/>
    </w:rPr>
  </w:style>
  <w:style w:type="character" w:customStyle="1" w:styleId="a6">
    <w:name w:val="Основной текст Знак"/>
    <w:basedOn w:val="a0"/>
    <w:link w:val="a5"/>
    <w:rsid w:val="00CB41C9"/>
    <w:rPr>
      <w:rFonts w:ascii="Arial" w:eastAsia="Calibri" w:hAnsi="Arial" w:cs="Times New Roman"/>
      <w:b/>
      <w:noProof/>
      <w:color w:val="000000"/>
      <w:sz w:val="20"/>
      <w:szCs w:val="20"/>
      <w:lang w:val="uk-UA" w:eastAsia="ru-RU"/>
    </w:rPr>
  </w:style>
  <w:style w:type="character" w:customStyle="1" w:styleId="xfm01618953">
    <w:name w:val="xfm_01618953"/>
    <w:basedOn w:val="a0"/>
    <w:rsid w:val="00CB41C9"/>
    <w:rPr>
      <w:rFonts w:cs="Times New Roman"/>
    </w:rPr>
  </w:style>
  <w:style w:type="table" w:styleId="a7">
    <w:name w:val="Table Grid"/>
    <w:basedOn w:val="a1"/>
    <w:uiPriority w:val="39"/>
    <w:rsid w:val="00CB41C9"/>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lkz.com.ua/?cat=446" TargetMode="External"/><Relationship Id="rId4" Type="http://schemas.openxmlformats.org/officeDocument/2006/relationships/hyperlink" Target="http://vlkz.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2022-11-07T11:48:00Z</dcterms:created>
  <dcterms:modified xsi:type="dcterms:W3CDTF">2022-11-07T11:51:00Z</dcterms:modified>
</cp:coreProperties>
</file>